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CCA6B1" w14:textId="77777777" w:rsidR="00AB0570" w:rsidRDefault="0053563F">
      <w:bookmarkStart w:id="0" w:name="_GoBack"/>
      <w:bookmarkEnd w:id="0"/>
      <w:r>
        <w:rPr>
          <w:rFonts w:ascii="Times New Roman" w:eastAsia="Times New Roman" w:hAnsi="Times New Roman" w:cs="Times New Roman"/>
        </w:rPr>
        <w:t>Victoria Johnson</w:t>
      </w:r>
    </w:p>
    <w:p w14:paraId="20239258" w14:textId="77777777" w:rsidR="00AB0570" w:rsidRDefault="0053563F">
      <w:r>
        <w:rPr>
          <w:rFonts w:ascii="Times New Roman" w:eastAsia="Times New Roman" w:hAnsi="Times New Roman" w:cs="Times New Roman"/>
        </w:rPr>
        <w:t>WRTG 596-Mueller</w:t>
      </w:r>
    </w:p>
    <w:p w14:paraId="0FB1FCBC" w14:textId="77777777" w:rsidR="00AB0570" w:rsidRDefault="0053563F">
      <w:r>
        <w:rPr>
          <w:rFonts w:ascii="Times New Roman" w:eastAsia="Times New Roman" w:hAnsi="Times New Roman" w:cs="Times New Roman"/>
        </w:rPr>
        <w:t>Fall 2015</w:t>
      </w:r>
    </w:p>
    <w:p w14:paraId="3A3965B4" w14:textId="77777777" w:rsidR="00AB0570" w:rsidRDefault="0053563F">
      <w:pPr>
        <w:jc w:val="center"/>
      </w:pPr>
      <w:r>
        <w:rPr>
          <w:rFonts w:ascii="Times New Roman" w:eastAsia="Times New Roman" w:hAnsi="Times New Roman" w:cs="Times New Roman"/>
        </w:rPr>
        <w:t>WRTG 120 Lesson Plan: Genres in the Wild Artifact</w:t>
      </w:r>
    </w:p>
    <w:p w14:paraId="46FF8714" w14:textId="77777777" w:rsidR="00AB0570" w:rsidRDefault="00AB0570"/>
    <w:p w14:paraId="53EDD831" w14:textId="77777777" w:rsidR="00AB0570" w:rsidRDefault="0053563F">
      <w:r>
        <w:rPr>
          <w:rFonts w:ascii="Times New Roman" w:eastAsia="Times New Roman" w:hAnsi="Times New Roman" w:cs="Times New Roman"/>
          <w:b/>
        </w:rPr>
        <w:t>Introduction:</w:t>
      </w:r>
    </w:p>
    <w:p w14:paraId="668BA60B" w14:textId="77777777" w:rsidR="00AB0570" w:rsidRDefault="0053563F">
      <w:r>
        <w:rPr>
          <w:rFonts w:ascii="Times New Roman" w:eastAsia="Times New Roman" w:hAnsi="Times New Roman" w:cs="Times New Roman"/>
        </w:rPr>
        <w:t>This lesson was used on the third day of the second unit in WRTG 120, Genres in the Wild. At this point in the unit, students were familiar with the expectations of Project 2, but still getting a firm grasp on “genre</w:t>
      </w:r>
      <w:r>
        <w:rPr>
          <w:rFonts w:ascii="Times New Roman" w:eastAsia="Times New Roman" w:hAnsi="Times New Roman" w:cs="Times New Roman"/>
        </w:rPr>
        <w:t>.” Genre, in this project, was defined a</w:t>
      </w:r>
      <w:r>
        <w:rPr>
          <w:rFonts w:ascii="Times New Roman" w:eastAsia="Times New Roman" w:hAnsi="Times New Roman" w:cs="Times New Roman"/>
        </w:rPr>
        <w:t>s a communication event, and I used lesser known classifications of genre as examples (such as the syllabus and love letter as genres) in an extensive list to generate students’ ideas.</w:t>
      </w:r>
      <w:r>
        <w:rPr>
          <w:rFonts w:ascii="Times New Roman" w:eastAsia="Times New Roman" w:hAnsi="Times New Roman" w:cs="Times New Roman"/>
        </w:rPr>
        <w:t xml:space="preserve"> The purpose of this assignment was to give students a more tangible und</w:t>
      </w:r>
      <w:r>
        <w:rPr>
          <w:rFonts w:ascii="Times New Roman" w:eastAsia="Times New Roman" w:hAnsi="Times New Roman" w:cs="Times New Roman"/>
        </w:rPr>
        <w:t>erstanding of genre outside of their comfort zones.</w:t>
      </w:r>
    </w:p>
    <w:p w14:paraId="166DD076" w14:textId="77777777" w:rsidR="00AB0570" w:rsidRDefault="00AB0570"/>
    <w:p w14:paraId="0DE2F7E4" w14:textId="77777777" w:rsidR="00AB0570" w:rsidRDefault="0053563F">
      <w:r>
        <w:rPr>
          <w:rFonts w:ascii="Times New Roman" w:eastAsia="Times New Roman" w:hAnsi="Times New Roman" w:cs="Times New Roman"/>
          <w:b/>
        </w:rPr>
        <w:t>Context/Preparation:</w:t>
      </w:r>
    </w:p>
    <w:p w14:paraId="574CA212" w14:textId="77777777" w:rsidR="00AB0570" w:rsidRDefault="0053563F">
      <w:bookmarkStart w:id="1" w:name="h.gjdgxs" w:colFirst="0" w:colLast="0"/>
      <w:bookmarkEnd w:id="1"/>
      <w:r>
        <w:rPr>
          <w:rFonts w:ascii="Times New Roman" w:eastAsia="Times New Roman" w:hAnsi="Times New Roman" w:cs="Times New Roman"/>
        </w:rPr>
        <w:t xml:space="preserve">Prior to this class, students were instructed to read </w:t>
      </w:r>
      <w:r>
        <w:rPr>
          <w:rFonts w:ascii="Times New Roman" w:eastAsia="Times New Roman" w:hAnsi="Times New Roman" w:cs="Times New Roman"/>
          <w:i/>
          <w:color w:val="2A2A2A"/>
        </w:rPr>
        <w:t>Understanding Rhetoric, </w:t>
      </w:r>
      <w:r>
        <w:rPr>
          <w:rFonts w:ascii="Times New Roman" w:eastAsia="Times New Roman" w:hAnsi="Times New Roman" w:cs="Times New Roman"/>
          <w:color w:val="2A2A2A"/>
        </w:rPr>
        <w:t>p.245-273 and</w:t>
      </w:r>
    </w:p>
    <w:p w14:paraId="31F267E1" w14:textId="77777777" w:rsidR="00AB0570" w:rsidRDefault="0053563F">
      <w:r>
        <w:rPr>
          <w:rFonts w:ascii="Times New Roman" w:eastAsia="Times New Roman" w:hAnsi="Times New Roman" w:cs="Times New Roman"/>
        </w:rPr>
        <w:t xml:space="preserve">turn in a Genre Proposal to Canvas. </w:t>
      </w:r>
      <w:r>
        <w:rPr>
          <w:rFonts w:ascii="Times New Roman" w:eastAsia="Times New Roman" w:hAnsi="Times New Roman" w:cs="Times New Roman"/>
        </w:rPr>
        <w:t>The Genre Proposal was an informal paragraph that incl</w:t>
      </w:r>
      <w:r>
        <w:rPr>
          <w:rFonts w:ascii="Times New Roman" w:eastAsia="Times New Roman" w:hAnsi="Times New Roman" w:cs="Times New Roman"/>
        </w:rPr>
        <w:t xml:space="preserve">uded the students’ chosen genre, the artifact they would be bringing to class and why it is representative of their chosen genre, and their plans to remodel the genre. </w:t>
      </w:r>
      <w:r>
        <w:rPr>
          <w:rFonts w:ascii="Times New Roman" w:eastAsia="Times New Roman" w:hAnsi="Times New Roman" w:cs="Times New Roman"/>
        </w:rPr>
        <w:t xml:space="preserve">On this day, students were to bring to class a genre artifact, an artifact </w:t>
      </w:r>
      <w:r>
        <w:rPr>
          <w:rFonts w:ascii="Times New Roman" w:eastAsia="Times New Roman" w:hAnsi="Times New Roman" w:cs="Times New Roman"/>
        </w:rPr>
        <w:t xml:space="preserve">representing </w:t>
      </w:r>
      <w:r>
        <w:rPr>
          <w:rFonts w:ascii="Times New Roman" w:eastAsia="Times New Roman" w:hAnsi="Times New Roman" w:cs="Times New Roman"/>
        </w:rPr>
        <w:t>the genre</w:t>
      </w:r>
      <w:r>
        <w:rPr>
          <w:rFonts w:ascii="Times New Roman" w:eastAsia="Times New Roman" w:hAnsi="Times New Roman" w:cs="Times New Roman"/>
        </w:rPr>
        <w:t xml:space="preserve"> </w:t>
      </w:r>
      <w:r>
        <w:rPr>
          <w:rFonts w:ascii="Times New Roman" w:eastAsia="Times New Roman" w:hAnsi="Times New Roman" w:cs="Times New Roman"/>
        </w:rPr>
        <w:t xml:space="preserve">that they would be analyzing in their Project 2 essay. </w:t>
      </w:r>
      <w:r>
        <w:rPr>
          <w:rFonts w:ascii="Times New Roman" w:eastAsia="Times New Roman" w:hAnsi="Times New Roman" w:cs="Times New Roman"/>
        </w:rPr>
        <w:t>To focus the class, they were assigned a fastwrite where they were to define “genre” in their own words. In their informal presentations, t</w:t>
      </w:r>
      <w:r>
        <w:rPr>
          <w:rFonts w:ascii="Times New Roman" w:eastAsia="Times New Roman" w:hAnsi="Times New Roman" w:cs="Times New Roman"/>
        </w:rPr>
        <w:t>h</w:t>
      </w:r>
      <w:r>
        <w:rPr>
          <w:rFonts w:ascii="Times New Roman" w:eastAsia="Times New Roman" w:hAnsi="Times New Roman" w:cs="Times New Roman"/>
        </w:rPr>
        <w:t>ey explained their relation to the artifact and whe</w:t>
      </w:r>
      <w:r>
        <w:rPr>
          <w:rFonts w:ascii="Times New Roman" w:eastAsia="Times New Roman" w:hAnsi="Times New Roman" w:cs="Times New Roman"/>
        </w:rPr>
        <w:t>re in the “wild” they found it as well as 3-5 conventions of the genre.</w:t>
      </w:r>
    </w:p>
    <w:p w14:paraId="3B87E653" w14:textId="77777777" w:rsidR="00AB0570" w:rsidRDefault="0053563F">
      <w:r>
        <w:rPr>
          <w:rFonts w:ascii="Times New Roman" w:eastAsia="Times New Roman" w:hAnsi="Times New Roman" w:cs="Times New Roman"/>
        </w:rPr>
        <w:br/>
      </w:r>
      <w:r>
        <w:rPr>
          <w:rFonts w:ascii="Times New Roman" w:eastAsia="Times New Roman" w:hAnsi="Times New Roman" w:cs="Times New Roman"/>
          <w:b/>
        </w:rPr>
        <w:t>Examples:</w:t>
      </w:r>
    </w:p>
    <w:p w14:paraId="679BD1D8" w14:textId="77777777" w:rsidR="00AB0570" w:rsidRDefault="0053563F">
      <w:r>
        <w:rPr>
          <w:rFonts w:ascii="Times New Roman" w:eastAsia="Times New Roman" w:hAnsi="Times New Roman" w:cs="Times New Roman"/>
        </w:rPr>
        <w:t>While some students chose to bring in more familiar artifacts, such as a love letter or children’s book, other students took initiative to explore broader genres such as spo</w:t>
      </w:r>
      <w:r>
        <w:rPr>
          <w:rFonts w:ascii="Times New Roman" w:eastAsia="Times New Roman" w:hAnsi="Times New Roman" w:cs="Times New Roman"/>
        </w:rPr>
        <w:t>rts podcasts and sci-fi movie trailers. This activity stood as a great “checks and balances” net for my students. I reminded those who chose more difficult genres that they should keep in mind the software and background knowledge necessary to recreate suc</w:t>
      </w:r>
      <w:r>
        <w:rPr>
          <w:rFonts w:ascii="Times New Roman" w:eastAsia="Times New Roman" w:hAnsi="Times New Roman" w:cs="Times New Roman"/>
        </w:rPr>
        <w:t>h genres (such as the movie trailers). In hindsight, I believe it would have been beneficial to have students that recreated a visual genre also create a corresponding script. Some students, who recreated untraditional genres, took initiative in their pape</w:t>
      </w:r>
      <w:r>
        <w:rPr>
          <w:rFonts w:ascii="Times New Roman" w:eastAsia="Times New Roman" w:hAnsi="Times New Roman" w:cs="Times New Roman"/>
        </w:rPr>
        <w:t>rs to mention theoretical scripts or elements of writing.</w:t>
      </w:r>
    </w:p>
    <w:p w14:paraId="5FCE478C" w14:textId="77777777" w:rsidR="00AB0570" w:rsidRDefault="00AB0570"/>
    <w:p w14:paraId="079BBE46" w14:textId="77777777" w:rsidR="00AB0570" w:rsidRDefault="0053563F">
      <w:r>
        <w:rPr>
          <w:rFonts w:ascii="Times New Roman" w:eastAsia="Times New Roman" w:hAnsi="Times New Roman" w:cs="Times New Roman"/>
          <w:b/>
        </w:rPr>
        <w:t>Supporting Pedagogical Framework:</w:t>
      </w:r>
      <w:r>
        <w:rPr>
          <w:rFonts w:ascii="Times New Roman" w:eastAsia="Times New Roman" w:hAnsi="Times New Roman" w:cs="Times New Roman"/>
        </w:rPr>
        <w:br/>
      </w:r>
    </w:p>
    <w:p w14:paraId="7CDF32EE" w14:textId="77777777" w:rsidR="00AB0570" w:rsidRDefault="0053563F">
      <w:pPr>
        <w:numPr>
          <w:ilvl w:val="0"/>
          <w:numId w:val="1"/>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 xml:space="preserve">Dirk, Kerry. "Navigating Genres." </w:t>
      </w:r>
      <w:r>
        <w:rPr>
          <w:rFonts w:ascii="Times New Roman" w:eastAsia="Times New Roman" w:hAnsi="Times New Roman" w:cs="Times New Roman"/>
          <w:i/>
          <w:color w:val="333333"/>
        </w:rPr>
        <w:t>Writing Spaces</w:t>
      </w:r>
      <w:r>
        <w:rPr>
          <w:rFonts w:ascii="Times New Roman" w:eastAsia="Times New Roman" w:hAnsi="Times New Roman" w:cs="Times New Roman"/>
          <w:color w:val="333333"/>
        </w:rPr>
        <w:t>. Parlor Press, 2010. Web.</w:t>
      </w:r>
    </w:p>
    <w:p w14:paraId="19B1DACF" w14:textId="77777777" w:rsidR="00AB0570" w:rsidRDefault="0053563F">
      <w:pPr>
        <w:numPr>
          <w:ilvl w:val="1"/>
          <w:numId w:val="1"/>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333333"/>
        </w:rPr>
        <w:t>Students responded to three questions following the reading at the beginning of class.</w:t>
      </w:r>
    </w:p>
    <w:p w14:paraId="572404E6" w14:textId="77777777" w:rsidR="00AB0570" w:rsidRDefault="0053563F">
      <w:pPr>
        <w:numPr>
          <w:ilvl w:val="0"/>
          <w:numId w:val="1"/>
        </w:numPr>
        <w:ind w:hanging="360"/>
        <w:contextualSpacing/>
        <w:rPr>
          <w:rFonts w:ascii="Times New Roman" w:eastAsia="Times New Roman" w:hAnsi="Times New Roman" w:cs="Times New Roman"/>
          <w:color w:val="333333"/>
        </w:rPr>
      </w:pPr>
      <w:r>
        <w:rPr>
          <w:rFonts w:ascii="Times New Roman" w:eastAsia="Times New Roman" w:hAnsi="Times New Roman" w:cs="Times New Roman"/>
          <w:color w:val="2A2A2A"/>
        </w:rPr>
        <w:t xml:space="preserve"> Moxley, Joseph. "Genres: Introduction." </w:t>
      </w:r>
      <w:r>
        <w:rPr>
          <w:rFonts w:ascii="Times New Roman" w:eastAsia="Times New Roman" w:hAnsi="Times New Roman" w:cs="Times New Roman"/>
          <w:i/>
          <w:color w:val="2A2A2A"/>
        </w:rPr>
        <w:t>Writing Commons</w:t>
      </w:r>
      <w:r>
        <w:rPr>
          <w:rFonts w:ascii="Times New Roman" w:eastAsia="Times New Roman" w:hAnsi="Times New Roman" w:cs="Times New Roman"/>
          <w:color w:val="2A2A2A"/>
        </w:rPr>
        <w:t>. Writing Commons. Web.</w:t>
      </w:r>
    </w:p>
    <w:p w14:paraId="1BDCD342" w14:textId="77777777" w:rsidR="00AB0570" w:rsidRDefault="0053563F">
      <w:pPr>
        <w:numPr>
          <w:ilvl w:val="0"/>
          <w:numId w:val="1"/>
        </w:numPr>
        <w:ind w:hanging="360"/>
        <w:contextualSpacing/>
        <w:rPr>
          <w:rFonts w:ascii="Times New Roman" w:eastAsia="Times New Roman" w:hAnsi="Times New Roman" w:cs="Times New Roman"/>
          <w:color w:val="2A2A2A"/>
        </w:rPr>
      </w:pPr>
      <w:r>
        <w:rPr>
          <w:rFonts w:ascii="Times New Roman" w:eastAsia="Times New Roman" w:hAnsi="Times New Roman" w:cs="Times New Roman"/>
          <w:color w:val="2A2A2A"/>
        </w:rPr>
        <w:t xml:space="preserve"> Hinton, Corrine. "So You’ve Got a Writing Assignment. Now What?" </w:t>
      </w:r>
      <w:r>
        <w:rPr>
          <w:rFonts w:ascii="Times New Roman" w:eastAsia="Times New Roman" w:hAnsi="Times New Roman" w:cs="Times New Roman"/>
          <w:i/>
          <w:color w:val="2A2A2A"/>
        </w:rPr>
        <w:t>Writing Spaces</w:t>
      </w:r>
      <w:r>
        <w:rPr>
          <w:rFonts w:ascii="Times New Roman" w:eastAsia="Times New Roman" w:hAnsi="Times New Roman" w:cs="Times New Roman"/>
          <w:color w:val="2A2A2A"/>
        </w:rPr>
        <w:t>. Parlor Press, 2010. Web.</w:t>
      </w:r>
    </w:p>
    <w:p w14:paraId="01A14D71" w14:textId="77777777" w:rsidR="00AB0570" w:rsidRDefault="00AB0570"/>
    <w:p w14:paraId="24249FF3" w14:textId="77777777" w:rsidR="00AB0570" w:rsidRDefault="00AB0570"/>
    <w:sectPr w:rsidR="00AB0570">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F8180" w14:textId="77777777" w:rsidR="0053563F" w:rsidRDefault="0053563F">
      <w:r>
        <w:separator/>
      </w:r>
    </w:p>
  </w:endnote>
  <w:endnote w:type="continuationSeparator" w:id="0">
    <w:p w14:paraId="6766634C" w14:textId="77777777" w:rsidR="0053563F" w:rsidRDefault="005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E1A02F" w14:textId="77777777" w:rsidR="0053563F" w:rsidRDefault="0053563F">
      <w:r>
        <w:separator/>
      </w:r>
    </w:p>
  </w:footnote>
  <w:footnote w:type="continuationSeparator" w:id="0">
    <w:p w14:paraId="365BDC8A" w14:textId="77777777" w:rsidR="0053563F" w:rsidRDefault="005356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4DECC" w14:textId="77777777" w:rsidR="00AB0570" w:rsidRDefault="0053563F">
    <w:pPr>
      <w:tabs>
        <w:tab w:val="center" w:pos="4680"/>
        <w:tab w:val="right" w:pos="9360"/>
      </w:tabs>
      <w:spacing w:before="720"/>
      <w:jc w:val="right"/>
    </w:pPr>
    <w:r>
      <w:rPr>
        <w:rFonts w:ascii="Times New Roman" w:eastAsia="Times New Roman" w:hAnsi="Times New Roman" w:cs="Times New Roman"/>
      </w:rPr>
      <w:tab/>
      <w:t xml:space="preserve">Johnson </w:t>
    </w:r>
    <w:r>
      <w:fldChar w:fldCharType="begin"/>
    </w:r>
    <w:r>
      <w:instrText>PAGE</w:instrText>
    </w:r>
    <w:r>
      <w:fldChar w:fldCharType="separate"/>
    </w:r>
    <w:r w:rsidR="004B3B14">
      <w:rPr>
        <w:noProof/>
      </w:rPr>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23F50"/>
    <w:multiLevelType w:val="multilevel"/>
    <w:tmpl w:val="1F2C58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0570"/>
    <w:rsid w:val="004B3B14"/>
    <w:rsid w:val="0053563F"/>
    <w:rsid w:val="00AB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6A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2214</Characters>
  <Application>Microsoft Macintosh Word</Application>
  <DocSecurity>0</DocSecurity>
  <Lines>18</Lines>
  <Paragraphs>5</Paragraphs>
  <ScaleCrop>false</ScaleCrop>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Johnson</cp:lastModifiedBy>
  <cp:revision>2</cp:revision>
  <dcterms:created xsi:type="dcterms:W3CDTF">2015-11-24T21:51:00Z</dcterms:created>
  <dcterms:modified xsi:type="dcterms:W3CDTF">2015-11-24T21:51:00Z</dcterms:modified>
</cp:coreProperties>
</file>