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383A" w:rsidRDefault="00B9397E">
      <w:bookmarkStart w:id="0" w:name="_GoBack"/>
      <w:bookmarkEnd w:id="0"/>
      <w:r>
        <w:rPr>
          <w:rFonts w:ascii="Trebuchet MS" w:eastAsia="Trebuchet MS" w:hAnsi="Trebuchet MS" w:cs="Trebuchet MS"/>
          <w:sz w:val="24"/>
          <w:szCs w:val="24"/>
        </w:rPr>
        <w:t xml:space="preserve">Ella August </w:t>
      </w:r>
    </w:p>
    <w:p w:rsidR="0045383A" w:rsidRDefault="00B9397E">
      <w:r>
        <w:rPr>
          <w:rFonts w:ascii="Trebuchet MS" w:eastAsia="Trebuchet MS" w:hAnsi="Trebuchet MS" w:cs="Trebuchet MS"/>
          <w:sz w:val="24"/>
          <w:szCs w:val="24"/>
        </w:rPr>
        <w:t>WRTG 120 Peer Review Lesson Plan</w:t>
      </w:r>
    </w:p>
    <w:p w:rsidR="0045383A" w:rsidRDefault="0045383A"/>
    <w:p w:rsidR="0045383A" w:rsidRDefault="00B9397E">
      <w:r>
        <w:rPr>
          <w:rFonts w:ascii="Trebuchet MS" w:eastAsia="Trebuchet MS" w:hAnsi="Trebuchet MS" w:cs="Trebuchet MS"/>
          <w:sz w:val="24"/>
          <w:szCs w:val="24"/>
        </w:rPr>
        <w:t xml:space="preserve">The centerpiece of this lesson plan is a video that trains students on how to peer review each other’s draft papers. I use the video about a week before a paper is due, the day of the peer review session. </w:t>
      </w:r>
    </w:p>
    <w:p w:rsidR="0045383A" w:rsidRDefault="00B9397E">
      <w:r>
        <w:rPr>
          <w:rFonts w:ascii="Trebuchet MS" w:eastAsia="Trebuchet MS" w:hAnsi="Trebuchet MS" w:cs="Trebuchet MS"/>
          <w:sz w:val="24"/>
          <w:szCs w:val="24"/>
        </w:rPr>
        <w:t xml:space="preserve">Each student is required to bring two hard copies of their paper to class, with the idea that each student will review two papers and each student will receive two reviews of their paper. </w:t>
      </w:r>
    </w:p>
    <w:p w:rsidR="0045383A" w:rsidRDefault="00B9397E">
      <w:r>
        <w:rPr>
          <w:rFonts w:ascii="Trebuchet MS" w:eastAsia="Trebuchet MS" w:hAnsi="Trebuchet MS" w:cs="Trebuchet MS"/>
          <w:sz w:val="24"/>
          <w:szCs w:val="24"/>
        </w:rPr>
        <w:t>I start by asking each student to reflect on their own paper and wr</w:t>
      </w:r>
      <w:r>
        <w:rPr>
          <w:rFonts w:ascii="Trebuchet MS" w:eastAsia="Trebuchet MS" w:hAnsi="Trebuchet MS" w:cs="Trebuchet MS"/>
          <w:sz w:val="24"/>
          <w:szCs w:val="24"/>
        </w:rPr>
        <w:t xml:space="preserve">ite down anything that they’d like their reviewer to focus on. Once they finish, the writer introduces the paper to the reviewer, highlighting what they’d like the reviewer to focus on. The reviewers use a form (that I hand out, see next page for example) </w:t>
      </w:r>
      <w:r>
        <w:rPr>
          <w:rFonts w:ascii="Trebuchet MS" w:eastAsia="Trebuchet MS" w:hAnsi="Trebuchet MS" w:cs="Trebuchet MS"/>
          <w:sz w:val="24"/>
          <w:szCs w:val="24"/>
        </w:rPr>
        <w:t>to guide their review. Reviewers spend 15-20 minutes on their review and then meet with the writer to discuss their comments (which should all be written on the form).</w:t>
      </w:r>
    </w:p>
    <w:p w:rsidR="0045383A" w:rsidRDefault="00B9397E">
      <w:bookmarkStart w:id="1" w:name="h.gjdgxs" w:colFirst="0" w:colLast="0"/>
      <w:bookmarkEnd w:id="1"/>
      <w:r>
        <w:rPr>
          <w:rFonts w:ascii="Trebuchet MS" w:eastAsia="Trebuchet MS" w:hAnsi="Trebuchet MS" w:cs="Trebuchet MS"/>
          <w:sz w:val="24"/>
          <w:szCs w:val="24"/>
        </w:rPr>
        <w:t xml:space="preserve">I emphasize that students should not mark grammar or spelling “corrections” during this </w:t>
      </w:r>
      <w:r>
        <w:rPr>
          <w:rFonts w:ascii="Trebuchet MS" w:eastAsia="Trebuchet MS" w:hAnsi="Trebuchet MS" w:cs="Trebuchet MS"/>
          <w:sz w:val="24"/>
          <w:szCs w:val="24"/>
        </w:rPr>
        <w:t xml:space="preserve">process. We focus on bigger-picture issues.  </w:t>
      </w:r>
    </w:p>
    <w:p w:rsidR="0045383A" w:rsidRDefault="0045383A"/>
    <w:p w:rsidR="0045383A" w:rsidRDefault="00B9397E">
      <w:hyperlink r:id="rId5">
        <w:r>
          <w:rPr>
            <w:color w:val="0000FF"/>
            <w:u w:val="single"/>
          </w:rPr>
          <w:t>http://www.screencast.com/t/LJ4K2iW6lch</w:t>
        </w:r>
      </w:hyperlink>
      <w:hyperlink r:id="rId6"/>
    </w:p>
    <w:p w:rsidR="0045383A" w:rsidRDefault="00B9397E">
      <w:r>
        <w:br w:type="page"/>
      </w:r>
    </w:p>
    <w:p w:rsidR="0045383A" w:rsidRDefault="00B9397E">
      <w:hyperlink r:id="rId7"/>
    </w:p>
    <w:p w:rsidR="0045383A" w:rsidRDefault="00B9397E">
      <w:pPr>
        <w:spacing w:after="0"/>
      </w:pPr>
      <w:r>
        <w:rPr>
          <w:rFonts w:ascii="Trebuchet MS" w:eastAsia="Trebuchet MS" w:hAnsi="Trebuchet MS" w:cs="Trebuchet MS"/>
        </w:rPr>
        <w:t xml:space="preserve">Qualitative Peer Review Form </w:t>
      </w:r>
    </w:p>
    <w:p w:rsidR="0045383A" w:rsidRDefault="0045383A">
      <w:pPr>
        <w:spacing w:after="0"/>
      </w:pPr>
    </w:p>
    <w:p w:rsidR="0045383A" w:rsidRDefault="00B9397E">
      <w:pPr>
        <w:spacing w:after="0"/>
      </w:pPr>
      <w:r>
        <w:rPr>
          <w:rFonts w:ascii="Trebuchet MS" w:eastAsia="Trebuchet MS" w:hAnsi="Trebuchet MS" w:cs="Trebuchet MS"/>
        </w:rPr>
        <w:t>Draft Title______________________________________________________________</w:t>
      </w:r>
      <w:r>
        <w:rPr>
          <w:rFonts w:ascii="Trebuchet MS" w:eastAsia="Trebuchet MS" w:hAnsi="Trebuchet MS" w:cs="Trebuchet MS"/>
        </w:rPr>
        <w:br/>
      </w:r>
    </w:p>
    <w:p w:rsidR="0045383A" w:rsidRDefault="00B9397E">
      <w:pPr>
        <w:spacing w:after="0"/>
      </w:pPr>
      <w:r>
        <w:rPr>
          <w:rFonts w:ascii="Trebuchet MS" w:eastAsia="Trebuchet MS" w:hAnsi="Trebuchet MS" w:cs="Trebuchet MS"/>
        </w:rPr>
        <w:t>Draft Author____________________________________________________________</w:t>
      </w:r>
      <w:r>
        <w:rPr>
          <w:rFonts w:ascii="Trebuchet MS" w:eastAsia="Trebuchet MS" w:hAnsi="Trebuchet MS" w:cs="Trebuchet MS"/>
        </w:rPr>
        <w:br/>
      </w:r>
    </w:p>
    <w:p w:rsidR="0045383A" w:rsidRDefault="00B9397E">
      <w:pPr>
        <w:spacing w:after="0"/>
      </w:pPr>
      <w:r>
        <w:rPr>
          <w:rFonts w:ascii="Trebuchet MS" w:eastAsia="Trebuchet MS" w:hAnsi="Trebuchet MS" w:cs="Trebuchet MS"/>
        </w:rPr>
        <w:t>Peer Reviewer (your name) _______________________________________</w:t>
      </w:r>
      <w:r>
        <w:rPr>
          <w:rFonts w:ascii="Trebuchet MS" w:eastAsia="Trebuchet MS" w:hAnsi="Trebuchet MS" w:cs="Trebuchet MS"/>
        </w:rPr>
        <w:t>________________</w:t>
      </w:r>
    </w:p>
    <w:p w:rsidR="0045383A" w:rsidRDefault="0045383A">
      <w:pPr>
        <w:spacing w:after="0"/>
      </w:pPr>
    </w:p>
    <w:p w:rsidR="0045383A" w:rsidRDefault="00B9397E">
      <w:pPr>
        <w:spacing w:after="0"/>
      </w:pPr>
      <w:r>
        <w:rPr>
          <w:rFonts w:ascii="Trebuchet MS" w:eastAsia="Trebuchet MS" w:hAnsi="Trebuchet MS" w:cs="Trebuchet MS"/>
        </w:rPr>
        <w:t xml:space="preserve">I recommend that you begin by reading the draft one time thoroughly without making any notations whatsoever. Then read the draft a </w:t>
      </w:r>
      <w:r>
        <w:rPr>
          <w:rFonts w:ascii="Trebuchet MS" w:eastAsia="Trebuchet MS" w:hAnsi="Trebuchet MS" w:cs="Trebuchet MS"/>
          <w:i/>
        </w:rPr>
        <w:t>second time</w:t>
      </w:r>
      <w:r>
        <w:rPr>
          <w:rFonts w:ascii="Trebuchet MS" w:eastAsia="Trebuchet MS" w:hAnsi="Trebuchet MS" w:cs="Trebuchet MS"/>
        </w:rPr>
        <w:t xml:space="preserve"> and summarize each paragraph of the first 2 pages in the narrative. The third time through, wri</w:t>
      </w:r>
      <w:r>
        <w:rPr>
          <w:rFonts w:ascii="Trebuchet MS" w:eastAsia="Trebuchet MS" w:hAnsi="Trebuchet MS" w:cs="Trebuchet MS"/>
        </w:rPr>
        <w:t xml:space="preserve">te careful, thoughtful answers to questions 2-8 below. </w:t>
      </w:r>
      <w:r>
        <w:rPr>
          <w:rFonts w:ascii="Trebuchet MS" w:eastAsia="Trebuchet MS" w:hAnsi="Trebuchet MS" w:cs="Trebuchet MS"/>
          <w:i/>
        </w:rPr>
        <w:t>Please</w:t>
      </w:r>
      <w:r>
        <w:rPr>
          <w:rFonts w:ascii="Trebuchet MS" w:eastAsia="Trebuchet MS" w:hAnsi="Trebuchet MS" w:cs="Trebuchet MS"/>
        </w:rPr>
        <w:t xml:space="preserve"> do not proofread the draft or mark any grammar or spelling on this review.</w:t>
      </w:r>
    </w:p>
    <w:p w:rsidR="0045383A" w:rsidRDefault="0045383A">
      <w:pPr>
        <w:spacing w:after="0"/>
      </w:pPr>
    </w:p>
    <w:p w:rsidR="0045383A" w:rsidRDefault="00B9397E">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What do you like most about the draft? Please mention at least 2-3 strengths here.</w:t>
      </w:r>
      <w:r>
        <w:rPr>
          <w:rFonts w:ascii="Trebuchet MS" w:eastAsia="Trebuchet MS" w:hAnsi="Trebuchet MS" w:cs="Trebuchet MS"/>
        </w:rPr>
        <w:br/>
      </w:r>
    </w:p>
    <w:p w:rsidR="0045383A" w:rsidRDefault="00B9397E">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Does the title make sense given th</w:t>
      </w:r>
      <w:r>
        <w:rPr>
          <w:rFonts w:ascii="Trebuchet MS" w:eastAsia="Trebuchet MS" w:hAnsi="Trebuchet MS" w:cs="Trebuchet MS"/>
        </w:rPr>
        <w:t>e paper’s focus? Please comment</w:t>
      </w:r>
      <w:r>
        <w:rPr>
          <w:rFonts w:ascii="Trebuchet MS" w:eastAsia="Trebuchet MS" w:hAnsi="Trebuchet MS" w:cs="Trebuchet MS"/>
        </w:rPr>
        <w:br/>
      </w:r>
    </w:p>
    <w:p w:rsidR="0045383A" w:rsidRDefault="00B9397E">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Did the author follow MLA guidelines?   Yes     No (please comment)</w:t>
      </w:r>
    </w:p>
    <w:p w:rsidR="0045383A" w:rsidRDefault="0045383A">
      <w:pPr>
        <w:spacing w:after="0" w:line="240" w:lineRule="auto"/>
        <w:ind w:left="720"/>
      </w:pPr>
    </w:p>
    <w:p w:rsidR="0045383A" w:rsidRDefault="00B9397E">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color w:val="333333"/>
        </w:rPr>
        <w:t>For the “Introduce the genre” section, are there enough details? (if no then comment)</w:t>
      </w:r>
      <w:r>
        <w:rPr>
          <w:rFonts w:ascii="Trebuchet MS" w:eastAsia="Trebuchet MS" w:hAnsi="Trebuchet MS" w:cs="Trebuchet MS"/>
        </w:rPr>
        <w:br/>
      </w:r>
    </w:p>
    <w:p w:rsidR="0045383A" w:rsidRDefault="00B9397E">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color w:val="333333"/>
        </w:rPr>
        <w:t>For the “Describe its context” section, are all the below points di</w:t>
      </w:r>
      <w:r>
        <w:rPr>
          <w:rFonts w:ascii="Trebuchet MS" w:eastAsia="Trebuchet MS" w:hAnsi="Trebuchet MS" w:cs="Trebuchet MS"/>
          <w:color w:val="333333"/>
        </w:rPr>
        <w:t>scussed? Do you feel the author is arguing a point and supporting that point with evidence in this section?</w:t>
      </w:r>
    </w:p>
    <w:p w:rsidR="0045383A" w:rsidRDefault="00B9397E">
      <w:pPr>
        <w:numPr>
          <w:ilvl w:val="0"/>
          <w:numId w:val="2"/>
        </w:numPr>
        <w:spacing w:before="280" w:after="0"/>
        <w:ind w:left="1440" w:hanging="360"/>
        <w:rPr>
          <w:color w:val="333333"/>
        </w:rPr>
      </w:pPr>
      <w:r>
        <w:rPr>
          <w:rFonts w:ascii="Trebuchet MS" w:eastAsia="Trebuchet MS" w:hAnsi="Trebuchet MS" w:cs="Trebuchet MS"/>
          <w:color w:val="333333"/>
        </w:rPr>
        <w:t>Who is the audience?</w:t>
      </w:r>
    </w:p>
    <w:p w:rsidR="0045383A" w:rsidRDefault="00B9397E">
      <w:pPr>
        <w:numPr>
          <w:ilvl w:val="0"/>
          <w:numId w:val="2"/>
        </w:numPr>
        <w:spacing w:after="0"/>
        <w:ind w:left="1440" w:hanging="360"/>
        <w:rPr>
          <w:color w:val="333333"/>
        </w:rPr>
      </w:pPr>
      <w:r>
        <w:rPr>
          <w:rFonts w:ascii="Trebuchet MS" w:eastAsia="Trebuchet MS" w:hAnsi="Trebuchet MS" w:cs="Trebuchet MS"/>
          <w:color w:val="333333"/>
        </w:rPr>
        <w:t>What is the goal it’s attempting to accomplish?</w:t>
      </w:r>
    </w:p>
    <w:p w:rsidR="0045383A" w:rsidRDefault="00B9397E">
      <w:pPr>
        <w:numPr>
          <w:ilvl w:val="0"/>
          <w:numId w:val="2"/>
        </w:numPr>
        <w:spacing w:after="280"/>
        <w:ind w:left="1440" w:hanging="360"/>
        <w:rPr>
          <w:color w:val="333333"/>
        </w:rPr>
      </w:pPr>
      <w:r>
        <w:rPr>
          <w:rFonts w:ascii="Trebuchet MS" w:eastAsia="Trebuchet MS" w:hAnsi="Trebuchet MS" w:cs="Trebuchet MS"/>
          <w:color w:val="333333"/>
        </w:rPr>
        <w:t>How do its characteristics help to meet this goal?</w:t>
      </w:r>
    </w:p>
    <w:p w:rsidR="0045383A" w:rsidRDefault="00B9397E">
      <w:pPr>
        <w:numPr>
          <w:ilvl w:val="0"/>
          <w:numId w:val="1"/>
        </w:numPr>
        <w:spacing w:after="0" w:line="240" w:lineRule="auto"/>
        <w:ind w:hanging="360"/>
        <w:contextualSpacing/>
        <w:rPr>
          <w:rFonts w:ascii="Trebuchet MS" w:eastAsia="Trebuchet MS" w:hAnsi="Trebuchet MS" w:cs="Trebuchet MS"/>
          <w:color w:val="333333"/>
        </w:rPr>
      </w:pPr>
      <w:r>
        <w:rPr>
          <w:rFonts w:ascii="Trebuchet MS" w:eastAsia="Trebuchet MS" w:hAnsi="Trebuchet MS" w:cs="Trebuchet MS"/>
          <w:color w:val="333333"/>
        </w:rPr>
        <w:t>For the “Analyze the genre” section, are all the below points discussed? Do you feel the author is arguing a point and supporting that point with evidence in this section?</w:t>
      </w:r>
    </w:p>
    <w:p w:rsidR="0045383A" w:rsidRDefault="00B9397E">
      <w:pPr>
        <w:numPr>
          <w:ilvl w:val="0"/>
          <w:numId w:val="3"/>
        </w:numPr>
        <w:spacing w:before="280" w:after="0"/>
        <w:ind w:left="1350" w:hanging="360"/>
        <w:rPr>
          <w:color w:val="333333"/>
        </w:rPr>
      </w:pPr>
      <w:r>
        <w:rPr>
          <w:rFonts w:ascii="Trebuchet MS" w:eastAsia="Trebuchet MS" w:hAnsi="Trebuchet MS" w:cs="Trebuchet MS"/>
          <w:color w:val="333333"/>
        </w:rPr>
        <w:t>Does this genre effectively and regularly accomplish its intended goal?</w:t>
      </w:r>
    </w:p>
    <w:p w:rsidR="0045383A" w:rsidRDefault="00B9397E">
      <w:pPr>
        <w:numPr>
          <w:ilvl w:val="0"/>
          <w:numId w:val="3"/>
        </w:numPr>
        <w:spacing w:after="0"/>
        <w:ind w:left="1350" w:hanging="360"/>
        <w:rPr>
          <w:color w:val="333333"/>
        </w:rPr>
      </w:pPr>
      <w:r>
        <w:rPr>
          <w:rFonts w:ascii="Trebuchet MS" w:eastAsia="Trebuchet MS" w:hAnsi="Trebuchet MS" w:cs="Trebuchet MS"/>
          <w:color w:val="333333"/>
        </w:rPr>
        <w:t>What are the</w:t>
      </w:r>
      <w:r>
        <w:rPr>
          <w:rFonts w:ascii="Trebuchet MS" w:eastAsia="Trebuchet MS" w:hAnsi="Trebuchet MS" w:cs="Trebuchet MS"/>
          <w:color w:val="333333"/>
        </w:rPr>
        <w:t xml:space="preserve"> shortcomings of using this genre? The strengths?</w:t>
      </w:r>
    </w:p>
    <w:p w:rsidR="0045383A" w:rsidRDefault="00B9397E">
      <w:pPr>
        <w:numPr>
          <w:ilvl w:val="0"/>
          <w:numId w:val="3"/>
        </w:numPr>
        <w:spacing w:after="280"/>
        <w:ind w:left="1350" w:hanging="360"/>
        <w:rPr>
          <w:color w:val="333333"/>
        </w:rPr>
      </w:pPr>
      <w:r>
        <w:rPr>
          <w:rFonts w:ascii="Trebuchet MS" w:eastAsia="Trebuchet MS" w:hAnsi="Trebuchet MS" w:cs="Trebuchet MS"/>
          <w:color w:val="333333"/>
        </w:rPr>
        <w:t>Would you suggest any alterations to improve the genre? Why or why not?</w:t>
      </w:r>
    </w:p>
    <w:p w:rsidR="0045383A" w:rsidRDefault="00B9397E">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 xml:space="preserve">Are two appendices included? (Appendix A should be any example of the genre and Appendix B should be an example of the genre that was </w:t>
      </w:r>
      <w:r>
        <w:rPr>
          <w:rFonts w:ascii="Trebuchet MS" w:eastAsia="Trebuchet MS" w:hAnsi="Trebuchet MS" w:cs="Trebuchet MS"/>
        </w:rPr>
        <w:t xml:space="preserve">made by the student.) </w:t>
      </w:r>
    </w:p>
    <w:p w:rsidR="0045383A" w:rsidRDefault="0045383A">
      <w:pPr>
        <w:spacing w:after="0"/>
      </w:pPr>
    </w:p>
    <w:p w:rsidR="0045383A" w:rsidRDefault="00B9397E">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Does the author make reference to the appendix in the draft? Yes   No</w:t>
      </w:r>
    </w:p>
    <w:p w:rsidR="0045383A" w:rsidRDefault="0045383A">
      <w:pPr>
        <w:spacing w:after="0" w:line="240" w:lineRule="auto"/>
        <w:ind w:left="720"/>
      </w:pPr>
    </w:p>
    <w:p w:rsidR="0045383A" w:rsidRDefault="00B9397E">
      <w:pPr>
        <w:numPr>
          <w:ilvl w:val="0"/>
          <w:numId w:val="1"/>
        </w:numPr>
        <w:spacing w:after="0" w:line="240" w:lineRule="auto"/>
        <w:ind w:hanging="360"/>
        <w:contextualSpacing/>
        <w:rPr>
          <w:rFonts w:ascii="Trebuchet MS" w:eastAsia="Trebuchet MS" w:hAnsi="Trebuchet MS" w:cs="Trebuchet MS"/>
        </w:rPr>
      </w:pPr>
      <w:r>
        <w:rPr>
          <w:rFonts w:ascii="Trebuchet MS" w:eastAsia="Trebuchet MS" w:hAnsi="Trebuchet MS" w:cs="Trebuchet MS"/>
        </w:rPr>
        <w:t>Don’t forget to address any specific areas that the writer wanted help with.</w:t>
      </w:r>
    </w:p>
    <w:p w:rsidR="0045383A" w:rsidRDefault="0045383A"/>
    <w:p w:rsidR="0045383A" w:rsidRDefault="00B9397E">
      <w:r>
        <w:br w:type="page"/>
      </w:r>
    </w:p>
    <w:p w:rsidR="0045383A" w:rsidRDefault="0045383A"/>
    <w:p w:rsidR="0045383A" w:rsidRDefault="00B9397E">
      <w:pPr>
        <w:spacing w:after="0" w:line="240" w:lineRule="auto"/>
        <w:jc w:val="center"/>
      </w:pPr>
      <w:r>
        <w:rPr>
          <w:rFonts w:ascii="Trebuchet MS" w:eastAsia="Trebuchet MS" w:hAnsi="Trebuchet MS" w:cs="Trebuchet MS"/>
          <w:sz w:val="24"/>
          <w:szCs w:val="24"/>
        </w:rPr>
        <w:t>References</w:t>
      </w:r>
    </w:p>
    <w:p w:rsidR="0045383A" w:rsidRDefault="0045383A">
      <w:pPr>
        <w:spacing w:after="0" w:line="240" w:lineRule="auto"/>
        <w:jc w:val="center"/>
      </w:pPr>
    </w:p>
    <w:p w:rsidR="0045383A" w:rsidRDefault="00B9397E">
      <w:r>
        <w:rPr>
          <w:rFonts w:ascii="Trebuchet MS" w:eastAsia="Trebuchet MS" w:hAnsi="Trebuchet MS" w:cs="Trebuchet MS"/>
        </w:rPr>
        <w:t xml:space="preserve">Cahill, Lisa. “Reflection on Peer-Review Practices.” Strategies for Teaching First-Year Composition. Ed. Duane </w:t>
      </w:r>
      <w:proofErr w:type="spellStart"/>
      <w:r>
        <w:rPr>
          <w:rFonts w:ascii="Trebuchet MS" w:eastAsia="Trebuchet MS" w:hAnsi="Trebuchet MS" w:cs="Trebuchet MS"/>
        </w:rPr>
        <w:t>Roen</w:t>
      </w:r>
      <w:proofErr w:type="spellEnd"/>
      <w:r>
        <w:rPr>
          <w:rFonts w:ascii="Trebuchet MS" w:eastAsia="Trebuchet MS" w:hAnsi="Trebuchet MS" w:cs="Trebuchet MS"/>
        </w:rPr>
        <w:t xml:space="preserve">, Veronica Pantoja, Lauren </w:t>
      </w:r>
      <w:proofErr w:type="spellStart"/>
      <w:r>
        <w:rPr>
          <w:rFonts w:ascii="Trebuchet MS" w:eastAsia="Trebuchet MS" w:hAnsi="Trebuchet MS" w:cs="Trebuchet MS"/>
        </w:rPr>
        <w:t>Yena</w:t>
      </w:r>
      <w:proofErr w:type="spellEnd"/>
      <w:r>
        <w:rPr>
          <w:rFonts w:ascii="Trebuchet MS" w:eastAsia="Trebuchet MS" w:hAnsi="Trebuchet MS" w:cs="Trebuchet MS"/>
        </w:rPr>
        <w:t>, Susan K. Miller, and Eric Waggoner. Urbana, IL: NCTE, 2002. 301-306.</w:t>
      </w:r>
    </w:p>
    <w:p w:rsidR="0045383A" w:rsidRDefault="00B9397E">
      <w:r>
        <w:rPr>
          <w:rFonts w:ascii="Trebuchet MS" w:eastAsia="Trebuchet MS" w:hAnsi="Trebuchet MS" w:cs="Trebuchet MS"/>
        </w:rPr>
        <w:t>Grimm, Nancy. “Improving Students’ Resp</w:t>
      </w:r>
      <w:r>
        <w:rPr>
          <w:rFonts w:ascii="Trebuchet MS" w:eastAsia="Trebuchet MS" w:hAnsi="Trebuchet MS" w:cs="Trebuchet MS"/>
        </w:rPr>
        <w:t>onses to Their Peers’ Essays.” College Composition and Communication 37.1 (February 1986): 91-3.</w:t>
      </w:r>
    </w:p>
    <w:p w:rsidR="0045383A" w:rsidRDefault="00B9397E">
      <w:r>
        <w:rPr>
          <w:rFonts w:ascii="Trebuchet MS" w:eastAsia="Trebuchet MS" w:hAnsi="Trebuchet MS" w:cs="Trebuchet MS"/>
        </w:rPr>
        <w:t>Holt, Mara. “The Value of Written Peer Criticism.” College Composition and Communication 43.3 (October 1992): 384-92.</w:t>
      </w:r>
    </w:p>
    <w:p w:rsidR="0045383A" w:rsidRDefault="00B9397E">
      <w:r>
        <w:rPr>
          <w:rFonts w:ascii="Nova Mono" w:eastAsia="Nova Mono" w:hAnsi="Nova Mono" w:cs="Nova Mono"/>
        </w:rPr>
        <w:t>Prichard J.R. (2005). Writing to Learn: A</w:t>
      </w:r>
      <w:r>
        <w:rPr>
          <w:rFonts w:ascii="Nova Mono" w:eastAsia="Nova Mono" w:hAnsi="Nova Mono" w:cs="Nova Mono"/>
        </w:rPr>
        <w:t>n Evaluation of the Calibrated Peer Review™ Program in Two Neuroscience Courses. The Journal of Undergraduate Neuroscience Education, 4(1), A34-A39. PMID: 23493247 [PubMed] PMCID: PMC3592621</w:t>
      </w:r>
    </w:p>
    <w:p w:rsidR="0045383A" w:rsidRDefault="00B9397E">
      <w:pPr>
        <w:spacing w:after="0" w:line="240" w:lineRule="auto"/>
      </w:pPr>
      <w:proofErr w:type="spellStart"/>
      <w:r>
        <w:rPr>
          <w:rFonts w:ascii="Trebuchet MS" w:eastAsia="Trebuchet MS" w:hAnsi="Trebuchet MS" w:cs="Trebuchet MS"/>
          <w:sz w:val="24"/>
          <w:szCs w:val="24"/>
        </w:rPr>
        <w:t>Senkevitch</w:t>
      </w:r>
      <w:proofErr w:type="spellEnd"/>
      <w:r>
        <w:rPr>
          <w:rFonts w:ascii="Trebuchet MS" w:eastAsia="Trebuchet MS" w:hAnsi="Trebuchet MS" w:cs="Trebuchet MS"/>
          <w:sz w:val="24"/>
          <w:szCs w:val="24"/>
        </w:rPr>
        <w:t xml:space="preserve">, E., Smith, A.C., </w:t>
      </w:r>
      <w:proofErr w:type="spellStart"/>
      <w:r>
        <w:rPr>
          <w:rFonts w:ascii="Trebuchet MS" w:eastAsia="Trebuchet MS" w:hAnsi="Trebuchet MS" w:cs="Trebuchet MS"/>
          <w:sz w:val="24"/>
          <w:szCs w:val="24"/>
        </w:rPr>
        <w:t>Marbach</w:t>
      </w:r>
      <w:proofErr w:type="spellEnd"/>
      <w:r>
        <w:rPr>
          <w:rFonts w:ascii="Trebuchet MS" w:eastAsia="Trebuchet MS" w:hAnsi="Trebuchet MS" w:cs="Trebuchet MS"/>
          <w:sz w:val="24"/>
          <w:szCs w:val="24"/>
        </w:rPr>
        <w:t>, G., &amp; Song, W. (2011). Impr</w:t>
      </w:r>
      <w:r>
        <w:rPr>
          <w:rFonts w:ascii="Trebuchet MS" w:eastAsia="Trebuchet MS" w:hAnsi="Trebuchet MS" w:cs="Trebuchet MS"/>
          <w:sz w:val="24"/>
          <w:szCs w:val="24"/>
        </w:rPr>
        <w:t xml:space="preserve">oving Scientific Research and Writing Skills through Peer Review and Empirical Group Learning. </w:t>
      </w:r>
      <w:r>
        <w:rPr>
          <w:rFonts w:ascii="Trebuchet MS" w:eastAsia="Trebuchet MS" w:hAnsi="Trebuchet MS" w:cs="Trebuchet MS"/>
          <w:i/>
          <w:sz w:val="24"/>
          <w:szCs w:val="24"/>
        </w:rPr>
        <w:t>Journal of Microbiology &amp; Biology Education</w:t>
      </w:r>
      <w:r>
        <w:rPr>
          <w:rFonts w:ascii="Trebuchet MS" w:eastAsia="Trebuchet MS" w:hAnsi="Trebuchet MS" w:cs="Trebuchet MS"/>
          <w:sz w:val="24"/>
          <w:szCs w:val="24"/>
        </w:rPr>
        <w:t>, 12(2), 157-165. DOI: 10.1128/jmbe.v12i2.319</w:t>
      </w:r>
    </w:p>
    <w:p w:rsidR="0045383A" w:rsidRDefault="0045383A">
      <w:pPr>
        <w:spacing w:after="0" w:line="240" w:lineRule="auto"/>
        <w:ind w:left="720"/>
      </w:pPr>
    </w:p>
    <w:p w:rsidR="0045383A" w:rsidRDefault="00B9397E">
      <w:pPr>
        <w:spacing w:after="0" w:line="240" w:lineRule="auto"/>
      </w:pPr>
      <w:r>
        <w:rPr>
          <w:rFonts w:ascii="Trebuchet MS" w:eastAsia="Trebuchet MS" w:hAnsi="Trebuchet MS" w:cs="Trebuchet MS"/>
          <w:sz w:val="24"/>
          <w:szCs w:val="24"/>
        </w:rPr>
        <w:t>Tsai, Y., &amp; Chuang, M. (2013). Fostering Revision of Argumentative Writ</w:t>
      </w:r>
      <w:r>
        <w:rPr>
          <w:rFonts w:ascii="Trebuchet MS" w:eastAsia="Trebuchet MS" w:hAnsi="Trebuchet MS" w:cs="Trebuchet MS"/>
          <w:sz w:val="24"/>
          <w:szCs w:val="24"/>
        </w:rPr>
        <w:t xml:space="preserve">ing through Structured Peer Assessment. </w:t>
      </w:r>
      <w:r>
        <w:rPr>
          <w:rFonts w:ascii="Trebuchet MS" w:eastAsia="Trebuchet MS" w:hAnsi="Trebuchet MS" w:cs="Trebuchet MS"/>
          <w:i/>
          <w:sz w:val="24"/>
          <w:szCs w:val="24"/>
        </w:rPr>
        <w:t xml:space="preserve">Perceptual &amp; Motor Skills: Physical Development &amp; Measurement, </w:t>
      </w:r>
      <w:r>
        <w:rPr>
          <w:rFonts w:ascii="Trebuchet MS" w:eastAsia="Trebuchet MS" w:hAnsi="Trebuchet MS" w:cs="Trebuchet MS"/>
          <w:sz w:val="24"/>
          <w:szCs w:val="24"/>
        </w:rPr>
        <w:t>116(1), 210-221. DOI 10.2466/10.23.PMS.116.1.210-221.</w:t>
      </w:r>
    </w:p>
    <w:sectPr w:rsidR="004538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Nova Mono">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47DB2"/>
    <w:multiLevelType w:val="multilevel"/>
    <w:tmpl w:val="B8D65FB4"/>
    <w:lvl w:ilvl="0">
      <w:start w:val="1"/>
      <w:numFmt w:val="bullet"/>
      <w:lvlText w:val="●"/>
      <w:lvlJc w:val="left"/>
      <w:pPr>
        <w:ind w:left="2445" w:firstLine="2085"/>
      </w:pPr>
      <w:rPr>
        <w:rFonts w:ascii="Arial" w:eastAsia="Arial" w:hAnsi="Arial" w:cs="Arial"/>
        <w:sz w:val="20"/>
        <w:szCs w:val="20"/>
      </w:rPr>
    </w:lvl>
    <w:lvl w:ilvl="1">
      <w:start w:val="1"/>
      <w:numFmt w:val="bullet"/>
      <w:lvlText w:val="o"/>
      <w:lvlJc w:val="left"/>
      <w:pPr>
        <w:ind w:left="3165" w:firstLine="2805"/>
      </w:pPr>
      <w:rPr>
        <w:rFonts w:ascii="Arial" w:eastAsia="Arial" w:hAnsi="Arial" w:cs="Arial"/>
        <w:sz w:val="20"/>
        <w:szCs w:val="20"/>
      </w:rPr>
    </w:lvl>
    <w:lvl w:ilvl="2">
      <w:start w:val="1"/>
      <w:numFmt w:val="bullet"/>
      <w:lvlText w:val="▪"/>
      <w:lvlJc w:val="left"/>
      <w:pPr>
        <w:ind w:left="3885" w:firstLine="3525"/>
      </w:pPr>
      <w:rPr>
        <w:rFonts w:ascii="Arial" w:eastAsia="Arial" w:hAnsi="Arial" w:cs="Arial"/>
        <w:sz w:val="20"/>
        <w:szCs w:val="20"/>
      </w:rPr>
    </w:lvl>
    <w:lvl w:ilvl="3">
      <w:start w:val="1"/>
      <w:numFmt w:val="bullet"/>
      <w:lvlText w:val="▪"/>
      <w:lvlJc w:val="left"/>
      <w:pPr>
        <w:ind w:left="4605" w:firstLine="4245"/>
      </w:pPr>
      <w:rPr>
        <w:rFonts w:ascii="Arial" w:eastAsia="Arial" w:hAnsi="Arial" w:cs="Arial"/>
        <w:sz w:val="20"/>
        <w:szCs w:val="20"/>
      </w:rPr>
    </w:lvl>
    <w:lvl w:ilvl="4">
      <w:start w:val="1"/>
      <w:numFmt w:val="bullet"/>
      <w:lvlText w:val="▪"/>
      <w:lvlJc w:val="left"/>
      <w:pPr>
        <w:ind w:left="5325" w:firstLine="4965"/>
      </w:pPr>
      <w:rPr>
        <w:rFonts w:ascii="Arial" w:eastAsia="Arial" w:hAnsi="Arial" w:cs="Arial"/>
        <w:sz w:val="20"/>
        <w:szCs w:val="20"/>
      </w:rPr>
    </w:lvl>
    <w:lvl w:ilvl="5">
      <w:start w:val="1"/>
      <w:numFmt w:val="bullet"/>
      <w:lvlText w:val="▪"/>
      <w:lvlJc w:val="left"/>
      <w:pPr>
        <w:ind w:left="6045" w:firstLine="5685"/>
      </w:pPr>
      <w:rPr>
        <w:rFonts w:ascii="Arial" w:eastAsia="Arial" w:hAnsi="Arial" w:cs="Arial"/>
        <w:sz w:val="20"/>
        <w:szCs w:val="20"/>
      </w:rPr>
    </w:lvl>
    <w:lvl w:ilvl="6">
      <w:start w:val="1"/>
      <w:numFmt w:val="bullet"/>
      <w:lvlText w:val="▪"/>
      <w:lvlJc w:val="left"/>
      <w:pPr>
        <w:ind w:left="6765" w:firstLine="6405"/>
      </w:pPr>
      <w:rPr>
        <w:rFonts w:ascii="Arial" w:eastAsia="Arial" w:hAnsi="Arial" w:cs="Arial"/>
        <w:sz w:val="20"/>
        <w:szCs w:val="20"/>
      </w:rPr>
    </w:lvl>
    <w:lvl w:ilvl="7">
      <w:start w:val="1"/>
      <w:numFmt w:val="bullet"/>
      <w:lvlText w:val="▪"/>
      <w:lvlJc w:val="left"/>
      <w:pPr>
        <w:ind w:left="7485" w:firstLine="7125"/>
      </w:pPr>
      <w:rPr>
        <w:rFonts w:ascii="Arial" w:eastAsia="Arial" w:hAnsi="Arial" w:cs="Arial"/>
        <w:sz w:val="20"/>
        <w:szCs w:val="20"/>
      </w:rPr>
    </w:lvl>
    <w:lvl w:ilvl="8">
      <w:start w:val="1"/>
      <w:numFmt w:val="bullet"/>
      <w:lvlText w:val="▪"/>
      <w:lvlJc w:val="left"/>
      <w:pPr>
        <w:ind w:left="8205" w:firstLine="7845"/>
      </w:pPr>
      <w:rPr>
        <w:rFonts w:ascii="Arial" w:eastAsia="Arial" w:hAnsi="Arial" w:cs="Arial"/>
        <w:sz w:val="20"/>
        <w:szCs w:val="20"/>
      </w:rPr>
    </w:lvl>
  </w:abstractNum>
  <w:abstractNum w:abstractNumId="1" w15:restartNumberingAfterBreak="0">
    <w:nsid w:val="2C0320E1"/>
    <w:multiLevelType w:val="multilevel"/>
    <w:tmpl w:val="315E40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F41301A"/>
    <w:multiLevelType w:val="multilevel"/>
    <w:tmpl w:val="1640D72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3A"/>
    <w:rsid w:val="0045383A"/>
    <w:rsid w:val="00B9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75A6E-4A0B-4221-8A48-7DF27404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reencast.com/t/LJ4K2iW6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eencast.com/t/LJ4K2iW6lch" TargetMode="External"/><Relationship Id="rId5" Type="http://schemas.openxmlformats.org/officeDocument/2006/relationships/hyperlink" Target="http://www.screencast.com/t/LJ4K2iW6l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Tomey, KT</dc:creator>
  <cp:lastModifiedBy>Tomey, KT</cp:lastModifiedBy>
  <cp:revision>2</cp:revision>
  <dcterms:created xsi:type="dcterms:W3CDTF">2015-12-01T21:26:00Z</dcterms:created>
  <dcterms:modified xsi:type="dcterms:W3CDTF">2015-12-01T21:26:00Z</dcterms:modified>
</cp:coreProperties>
</file>